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AC" w:rsidRDefault="0070707D" w:rsidP="0027665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Goal Setting: </w:t>
      </w:r>
      <w:r w:rsidR="006D2F20">
        <w:rPr>
          <w:b/>
          <w:sz w:val="28"/>
          <w:szCs w:val="28"/>
        </w:rPr>
        <w:t xml:space="preserve">Moving from </w:t>
      </w:r>
      <w:r w:rsidR="000B3DB3">
        <w:rPr>
          <w:b/>
          <w:sz w:val="28"/>
          <w:szCs w:val="28"/>
        </w:rPr>
        <w:t xml:space="preserve">School-Wide </w:t>
      </w:r>
      <w:r w:rsidR="006D2F20">
        <w:rPr>
          <w:b/>
          <w:sz w:val="28"/>
          <w:szCs w:val="28"/>
        </w:rPr>
        <w:t xml:space="preserve">Focus Area to </w:t>
      </w:r>
      <w:r w:rsidR="000B3DB3">
        <w:rPr>
          <w:b/>
          <w:sz w:val="28"/>
          <w:szCs w:val="28"/>
        </w:rPr>
        <w:t xml:space="preserve">Team </w:t>
      </w:r>
      <w:r w:rsidR="006D2F20">
        <w:rPr>
          <w:b/>
          <w:sz w:val="28"/>
          <w:szCs w:val="28"/>
        </w:rPr>
        <w:t xml:space="preserve">Student Learning </w:t>
      </w:r>
      <w:r w:rsidR="000B3DB3">
        <w:rPr>
          <w:b/>
          <w:sz w:val="28"/>
          <w:szCs w:val="28"/>
        </w:rPr>
        <w:t>Goal</w:t>
      </w:r>
    </w:p>
    <w:p w:rsidR="006D2F20" w:rsidRDefault="00D47840" w:rsidP="00276658">
      <w:pPr>
        <w:pStyle w:val="NoSpacing"/>
        <w:rPr>
          <w:sz w:val="20"/>
        </w:rPr>
      </w:pPr>
      <w:r w:rsidRPr="007323DB">
        <w:rPr>
          <w:sz w:val="20"/>
        </w:rPr>
        <w:t>After your school team has identified a focus area</w:t>
      </w:r>
      <w:r w:rsidR="0070707D">
        <w:rPr>
          <w:sz w:val="20"/>
        </w:rPr>
        <w:t xml:space="preserve"> and set a school-wide student learning goal</w:t>
      </w:r>
      <w:r w:rsidRPr="007323DB">
        <w:rPr>
          <w:sz w:val="20"/>
        </w:rPr>
        <w:t xml:space="preserve">, </w:t>
      </w:r>
      <w:r w:rsidR="0070707D">
        <w:rPr>
          <w:sz w:val="20"/>
        </w:rPr>
        <w:t xml:space="preserve">teams are </w:t>
      </w:r>
      <w:r w:rsidRPr="007323DB">
        <w:rPr>
          <w:sz w:val="20"/>
        </w:rPr>
        <w:t>ready to dig into data to find evidence for a specific student learning challenge within identified focus area</w:t>
      </w:r>
      <w:r w:rsidR="0070707D">
        <w:rPr>
          <w:sz w:val="20"/>
        </w:rPr>
        <w:t>s</w:t>
      </w:r>
      <w:r w:rsidRPr="007323DB">
        <w:rPr>
          <w:sz w:val="20"/>
        </w:rPr>
        <w:t>.  The student learning challenge should be:</w:t>
      </w:r>
    </w:p>
    <w:p w:rsidR="00C14625" w:rsidRPr="00C14625" w:rsidRDefault="00C14625" w:rsidP="00276658">
      <w:pPr>
        <w:pStyle w:val="NoSpacing"/>
        <w:rPr>
          <w:sz w:val="8"/>
        </w:rPr>
      </w:pPr>
    </w:p>
    <w:p w:rsidR="00A91CB8" w:rsidRPr="007323DB" w:rsidRDefault="006D2F20" w:rsidP="00276658">
      <w:pPr>
        <w:pStyle w:val="NoSpacing"/>
        <w:numPr>
          <w:ilvl w:val="0"/>
          <w:numId w:val="1"/>
        </w:numPr>
        <w:rPr>
          <w:sz w:val="20"/>
        </w:rPr>
      </w:pPr>
      <w:r w:rsidRPr="007323DB">
        <w:rPr>
          <w:b/>
          <w:bCs/>
          <w:sz w:val="20"/>
        </w:rPr>
        <w:t>Evidence-Based:</w:t>
      </w:r>
      <w:r w:rsidRPr="007323DB">
        <w:rPr>
          <w:sz w:val="20"/>
        </w:rPr>
        <w:t xml:space="preserve"> Supported by </w:t>
      </w:r>
      <w:r w:rsidRPr="007323DB">
        <w:rPr>
          <w:bCs/>
          <w:sz w:val="20"/>
        </w:rPr>
        <w:t>multiple sources of data</w:t>
      </w:r>
    </w:p>
    <w:p w:rsidR="00A91CB8" w:rsidRPr="007323DB" w:rsidRDefault="006D2F20" w:rsidP="00276658">
      <w:pPr>
        <w:pStyle w:val="NoSpacing"/>
        <w:numPr>
          <w:ilvl w:val="0"/>
          <w:numId w:val="1"/>
        </w:numPr>
        <w:rPr>
          <w:sz w:val="20"/>
        </w:rPr>
      </w:pPr>
      <w:r w:rsidRPr="007323DB">
        <w:rPr>
          <w:b/>
          <w:bCs/>
          <w:sz w:val="20"/>
        </w:rPr>
        <w:t xml:space="preserve">Standards-Driven: </w:t>
      </w:r>
      <w:r w:rsidR="0070707D">
        <w:rPr>
          <w:sz w:val="20"/>
        </w:rPr>
        <w:t>F</w:t>
      </w:r>
      <w:r w:rsidRPr="007323DB">
        <w:rPr>
          <w:sz w:val="20"/>
        </w:rPr>
        <w:t xml:space="preserve">ocused on </w:t>
      </w:r>
      <w:r w:rsidR="0070707D">
        <w:rPr>
          <w:sz w:val="20"/>
        </w:rPr>
        <w:t xml:space="preserve">the </w:t>
      </w:r>
      <w:r w:rsidRPr="007323DB">
        <w:rPr>
          <w:sz w:val="20"/>
        </w:rPr>
        <w:t xml:space="preserve">knowledge and skills students need to acquire in order </w:t>
      </w:r>
      <w:r w:rsidRPr="007323DB">
        <w:rPr>
          <w:bCs/>
          <w:sz w:val="20"/>
        </w:rPr>
        <w:t xml:space="preserve">to master the </w:t>
      </w:r>
      <w:r w:rsidR="0070707D">
        <w:rPr>
          <w:bCs/>
          <w:sz w:val="20"/>
        </w:rPr>
        <w:t>CCSS and/or WIDA</w:t>
      </w:r>
    </w:p>
    <w:p w:rsidR="00A91CB8" w:rsidRPr="007323DB" w:rsidRDefault="006D2F20" w:rsidP="00276658">
      <w:pPr>
        <w:pStyle w:val="NoSpacing"/>
        <w:numPr>
          <w:ilvl w:val="0"/>
          <w:numId w:val="1"/>
        </w:numPr>
        <w:rPr>
          <w:sz w:val="20"/>
        </w:rPr>
      </w:pPr>
      <w:r w:rsidRPr="007323DB">
        <w:rPr>
          <w:b/>
          <w:bCs/>
          <w:sz w:val="20"/>
        </w:rPr>
        <w:t xml:space="preserve">Gap-Closing: </w:t>
      </w:r>
      <w:r w:rsidRPr="007323DB">
        <w:rPr>
          <w:sz w:val="20"/>
        </w:rPr>
        <w:t xml:space="preserve">If you solve this challenge, you will make progress towards </w:t>
      </w:r>
      <w:r w:rsidRPr="007323DB">
        <w:rPr>
          <w:bCs/>
          <w:sz w:val="20"/>
        </w:rPr>
        <w:t>closing a persistent achievement gap</w:t>
      </w:r>
    </w:p>
    <w:p w:rsidR="00A91CB8" w:rsidRPr="007323DB" w:rsidRDefault="006D2F20" w:rsidP="00276658">
      <w:pPr>
        <w:pStyle w:val="NoSpacing"/>
        <w:numPr>
          <w:ilvl w:val="0"/>
          <w:numId w:val="1"/>
        </w:numPr>
        <w:rPr>
          <w:sz w:val="20"/>
        </w:rPr>
      </w:pPr>
      <w:r w:rsidRPr="007323DB">
        <w:rPr>
          <w:b/>
          <w:bCs/>
          <w:sz w:val="20"/>
        </w:rPr>
        <w:t xml:space="preserve">Urgent and High-Leverage: </w:t>
      </w:r>
      <w:r w:rsidRPr="007323DB">
        <w:rPr>
          <w:sz w:val="20"/>
        </w:rPr>
        <w:t xml:space="preserve">If you solve this challenge, it will help you </w:t>
      </w:r>
      <w:r w:rsidRPr="007323DB">
        <w:rPr>
          <w:bCs/>
          <w:sz w:val="20"/>
        </w:rPr>
        <w:t xml:space="preserve">meet your larger goals </w:t>
      </w:r>
      <w:r w:rsidRPr="007323DB">
        <w:rPr>
          <w:sz w:val="20"/>
        </w:rPr>
        <w:t>for students</w:t>
      </w:r>
    </w:p>
    <w:p w:rsidR="006D2F20" w:rsidRPr="00C14625" w:rsidRDefault="006D2F20" w:rsidP="00276658">
      <w:pPr>
        <w:pStyle w:val="NoSpacing"/>
        <w:rPr>
          <w:b/>
          <w:bCs/>
          <w:sz w:val="10"/>
        </w:rPr>
      </w:pPr>
    </w:p>
    <w:p w:rsidR="006D2F20" w:rsidRPr="007323DB" w:rsidRDefault="006D2F20" w:rsidP="00276658">
      <w:pPr>
        <w:pStyle w:val="NoSpacing"/>
        <w:pBdr>
          <w:bottom w:val="single" w:sz="4" w:space="1" w:color="auto"/>
        </w:pBdr>
        <w:rPr>
          <w:b/>
          <w:sz w:val="20"/>
        </w:rPr>
      </w:pPr>
      <w:r w:rsidRPr="007323DB">
        <w:rPr>
          <w:b/>
          <w:sz w:val="20"/>
        </w:rPr>
        <w:t xml:space="preserve">Examples </w:t>
      </w:r>
    </w:p>
    <w:p w:rsidR="006D2F20" w:rsidRPr="003B56DE" w:rsidRDefault="00276658" w:rsidP="00276658">
      <w:pPr>
        <w:pStyle w:val="NoSpacing"/>
        <w:rPr>
          <w:sz w:val="20"/>
          <w:szCs w:val="20"/>
        </w:rPr>
      </w:pPr>
      <w:r w:rsidRPr="003B56DE">
        <w:rPr>
          <w:sz w:val="20"/>
          <w:szCs w:val="20"/>
        </w:rPr>
        <w:t>Below are two examples which demonstrate how to</w:t>
      </w:r>
      <w:r w:rsidR="006D2F20" w:rsidRPr="003B56DE">
        <w:rPr>
          <w:sz w:val="20"/>
          <w:szCs w:val="20"/>
        </w:rPr>
        <w:t xml:space="preserve"> move from an identified focus area </w:t>
      </w:r>
      <w:r w:rsidRPr="003B56DE">
        <w:rPr>
          <w:sz w:val="20"/>
          <w:szCs w:val="20"/>
        </w:rPr>
        <w:t xml:space="preserve">to a </w:t>
      </w:r>
      <w:r w:rsidR="003B56DE">
        <w:rPr>
          <w:sz w:val="20"/>
          <w:szCs w:val="20"/>
        </w:rPr>
        <w:t xml:space="preserve">team </w:t>
      </w:r>
      <w:r w:rsidRPr="003B56DE">
        <w:rPr>
          <w:sz w:val="20"/>
          <w:szCs w:val="20"/>
        </w:rPr>
        <w:t>student learning challenge.</w:t>
      </w:r>
    </w:p>
    <w:p w:rsidR="006D2F20" w:rsidRPr="00C14625" w:rsidRDefault="006D2F20" w:rsidP="00276658">
      <w:pPr>
        <w:pStyle w:val="NoSpacing"/>
        <w:rPr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870"/>
        <w:gridCol w:w="3510"/>
      </w:tblGrid>
      <w:tr w:rsidR="0070707D" w:rsidRPr="003B56DE" w:rsidTr="00C14625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0707D" w:rsidRPr="003B56DE" w:rsidRDefault="0070707D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 xml:space="preserve">Evidence for </w:t>
            </w:r>
            <w:r w:rsidR="003D706F" w:rsidRPr="003B56DE">
              <w:rPr>
                <w:b/>
                <w:sz w:val="20"/>
                <w:szCs w:val="20"/>
              </w:rPr>
              <w:t xml:space="preserve">School-Wide </w:t>
            </w:r>
            <w:r w:rsidRPr="003B56DE">
              <w:rPr>
                <w:b/>
                <w:sz w:val="20"/>
                <w:szCs w:val="20"/>
              </w:rPr>
              <w:t>Focus Area</w:t>
            </w:r>
          </w:p>
        </w:tc>
      </w:tr>
      <w:tr w:rsidR="0070707D" w:rsidRPr="003B56DE" w:rsidTr="000B3DB3">
        <w:trPr>
          <w:trHeight w:val="64"/>
        </w:trPr>
        <w:tc>
          <w:tcPr>
            <w:tcW w:w="3528" w:type="dxa"/>
            <w:vMerge w:val="restart"/>
            <w:tcBorders>
              <w:bottom w:val="nil"/>
              <w:right w:val="nil"/>
            </w:tcBorders>
          </w:tcPr>
          <w:p w:rsidR="0070707D" w:rsidRPr="000B3DB3" w:rsidRDefault="0070707D" w:rsidP="0070707D">
            <w:pPr>
              <w:pStyle w:val="NoSpacing"/>
              <w:ind w:right="-64"/>
              <w:jc w:val="center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  <w:u w:val="single"/>
              </w:rPr>
              <w:t>Majority of SWD are Resource:</w:t>
            </w:r>
          </w:p>
          <w:p w:rsidR="0070707D" w:rsidRPr="000B3DB3" w:rsidRDefault="0070707D" w:rsidP="000B3DB3">
            <w:pPr>
              <w:pStyle w:val="NoSpacing"/>
              <w:numPr>
                <w:ilvl w:val="0"/>
                <w:numId w:val="4"/>
              </w:numPr>
              <w:ind w:left="180" w:right="-198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53 of 67 SWD </w:t>
            </w:r>
            <w:r w:rsidR="000B3DB3" w:rsidRPr="000B3DB3">
              <w:rPr>
                <w:sz w:val="18"/>
                <w:szCs w:val="20"/>
              </w:rPr>
              <w:t>receive</w:t>
            </w:r>
            <w:r w:rsidRPr="000B3DB3">
              <w:rPr>
                <w:sz w:val="18"/>
                <w:szCs w:val="20"/>
              </w:rPr>
              <w:t xml:space="preserve"> Resource support </w:t>
            </w:r>
          </w:p>
          <w:p w:rsidR="0070707D" w:rsidRPr="000B3DB3" w:rsidRDefault="0070707D" w:rsidP="0070707D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53 of 67 are 0.1 level of need</w:t>
            </w:r>
          </w:p>
        </w:tc>
        <w:tc>
          <w:tcPr>
            <w:tcW w:w="7380" w:type="dxa"/>
            <w:gridSpan w:val="2"/>
            <w:tcBorders>
              <w:left w:val="nil"/>
              <w:bottom w:val="nil"/>
            </w:tcBorders>
          </w:tcPr>
          <w:p w:rsidR="0070707D" w:rsidRPr="000B3DB3" w:rsidRDefault="0070707D" w:rsidP="0070707D">
            <w:pPr>
              <w:pStyle w:val="NoSpacing"/>
              <w:jc w:val="center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  <w:u w:val="single"/>
              </w:rPr>
              <w:t>SWD Achievement Gap (Math):</w:t>
            </w:r>
          </w:p>
        </w:tc>
      </w:tr>
      <w:tr w:rsidR="0070707D" w:rsidRPr="003B56DE" w:rsidTr="000B3DB3">
        <w:trPr>
          <w:trHeight w:val="117"/>
        </w:trPr>
        <w:tc>
          <w:tcPr>
            <w:tcW w:w="35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0707D" w:rsidRPr="000B3DB3" w:rsidRDefault="0070707D" w:rsidP="0070707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07D" w:rsidRPr="000B3DB3" w:rsidRDefault="0070707D" w:rsidP="0070707D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Mean CPI of 50.6 for SWD</w:t>
            </w:r>
          </w:p>
          <w:p w:rsidR="0070707D" w:rsidRPr="000B3DB3" w:rsidRDefault="0070707D" w:rsidP="003D706F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Mean CPI of 74.0 for nondisabled students</w:t>
            </w:r>
          </w:p>
          <w:p w:rsidR="0070707D" w:rsidRPr="000B3DB3" w:rsidRDefault="0070707D" w:rsidP="003D706F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39.0 SGP for SWD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</w:tcPr>
          <w:p w:rsidR="0070707D" w:rsidRPr="000B3DB3" w:rsidRDefault="0070707D" w:rsidP="003D706F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55.0 Median SGP for nondisabled</w:t>
            </w:r>
          </w:p>
          <w:p w:rsidR="0070707D" w:rsidRPr="000B3DB3" w:rsidRDefault="0070707D" w:rsidP="003D706F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17% of SWD Proficient or Advanced</w:t>
            </w:r>
          </w:p>
          <w:p w:rsidR="0070707D" w:rsidRPr="000B3DB3" w:rsidRDefault="0070707D" w:rsidP="003D706F">
            <w:pPr>
              <w:pStyle w:val="NoSpacing"/>
              <w:numPr>
                <w:ilvl w:val="0"/>
                <w:numId w:val="4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54% nondisabled students Prof or </w:t>
            </w:r>
            <w:proofErr w:type="spellStart"/>
            <w:r w:rsidRPr="000B3DB3">
              <w:rPr>
                <w:sz w:val="18"/>
                <w:szCs w:val="20"/>
              </w:rPr>
              <w:t>Adv</w:t>
            </w:r>
            <w:proofErr w:type="spellEnd"/>
          </w:p>
        </w:tc>
      </w:tr>
      <w:tr w:rsidR="0070707D" w:rsidRPr="003B56DE" w:rsidTr="0070707D">
        <w:trPr>
          <w:trHeight w:val="64"/>
        </w:trPr>
        <w:tc>
          <w:tcPr>
            <w:tcW w:w="10908" w:type="dxa"/>
            <w:gridSpan w:val="3"/>
            <w:shd w:val="clear" w:color="auto" w:fill="CCC0D9" w:themeFill="accent4" w:themeFillTint="66"/>
          </w:tcPr>
          <w:p w:rsidR="0070707D" w:rsidRPr="003B56DE" w:rsidRDefault="003D706F" w:rsidP="003D706F">
            <w:pPr>
              <w:pStyle w:val="NoSpacing"/>
              <w:ind w:right="-64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 xml:space="preserve">School-Wide </w:t>
            </w:r>
            <w:r w:rsidR="0070707D" w:rsidRPr="003B56DE">
              <w:rPr>
                <w:b/>
                <w:sz w:val="20"/>
                <w:szCs w:val="20"/>
              </w:rPr>
              <w:t>Focus Area</w:t>
            </w:r>
          </w:p>
        </w:tc>
      </w:tr>
      <w:tr w:rsidR="0070707D" w:rsidRPr="003B56DE" w:rsidTr="0070707D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70707D" w:rsidRPr="000B3DB3" w:rsidRDefault="0070707D" w:rsidP="003D706F">
            <w:pPr>
              <w:pStyle w:val="NoSpacing"/>
              <w:ind w:right="-64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</w:rPr>
              <w:t>Math performance of students receiving resource room support</w:t>
            </w:r>
          </w:p>
        </w:tc>
      </w:tr>
      <w:tr w:rsidR="0070707D" w:rsidRPr="003B56DE" w:rsidTr="003D706F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0707D" w:rsidRPr="003B56DE" w:rsidRDefault="003D706F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School-Wide Student Learning Goal</w:t>
            </w:r>
          </w:p>
        </w:tc>
      </w:tr>
      <w:tr w:rsidR="003D706F" w:rsidRPr="003B56DE" w:rsidTr="003D706F">
        <w:trPr>
          <w:trHeight w:val="64"/>
        </w:trPr>
        <w:tc>
          <w:tcPr>
            <w:tcW w:w="10908" w:type="dxa"/>
            <w:gridSpan w:val="3"/>
            <w:shd w:val="clear" w:color="auto" w:fill="auto"/>
          </w:tcPr>
          <w:p w:rsidR="003D706F" w:rsidRPr="000B3DB3" w:rsidRDefault="006876F4" w:rsidP="000B3DB3">
            <w:pPr>
              <w:pStyle w:val="NoSpacing"/>
              <w:ind w:right="-6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Based on </w:t>
            </w:r>
            <w:r w:rsidR="000B3DB3" w:rsidRPr="000B3DB3">
              <w:rPr>
                <w:sz w:val="18"/>
                <w:szCs w:val="20"/>
              </w:rPr>
              <w:t>recent MCAS trends of low growth and low performance in Math for</w:t>
            </w:r>
            <w:r w:rsidR="00814EF8" w:rsidRPr="000B3DB3">
              <w:rPr>
                <w:sz w:val="18"/>
                <w:szCs w:val="20"/>
              </w:rPr>
              <w:t xml:space="preserve"> students</w:t>
            </w:r>
            <w:r w:rsidRPr="000B3DB3">
              <w:rPr>
                <w:sz w:val="18"/>
                <w:szCs w:val="20"/>
              </w:rPr>
              <w:t xml:space="preserve"> receiving Resource support, </w:t>
            </w:r>
            <w:r w:rsidR="000B3DB3" w:rsidRPr="000B3DB3">
              <w:rPr>
                <w:sz w:val="18"/>
                <w:szCs w:val="20"/>
              </w:rPr>
              <w:t xml:space="preserve">our goal is that the 2014 Math median SGP for </w:t>
            </w:r>
            <w:r w:rsidR="00814EF8" w:rsidRPr="000B3DB3">
              <w:rPr>
                <w:sz w:val="18"/>
                <w:szCs w:val="20"/>
              </w:rPr>
              <w:t>Resource student</w:t>
            </w:r>
            <w:r w:rsidR="000B3DB3" w:rsidRPr="000B3DB3">
              <w:rPr>
                <w:sz w:val="18"/>
                <w:szCs w:val="20"/>
              </w:rPr>
              <w:t>s will increase 12 points from 39.0 to 51.0.</w:t>
            </w:r>
            <w:r w:rsidRPr="000B3DB3">
              <w:rPr>
                <w:sz w:val="18"/>
                <w:szCs w:val="20"/>
              </w:rPr>
              <w:t xml:space="preserve"> </w:t>
            </w:r>
          </w:p>
        </w:tc>
      </w:tr>
      <w:tr w:rsidR="003D706F" w:rsidRPr="003B56DE" w:rsidTr="0070707D">
        <w:trPr>
          <w:trHeight w:val="64"/>
        </w:trPr>
        <w:tc>
          <w:tcPr>
            <w:tcW w:w="10908" w:type="dxa"/>
            <w:gridSpan w:val="3"/>
            <w:shd w:val="clear" w:color="auto" w:fill="CCC0D9" w:themeFill="accent4" w:themeFillTint="66"/>
          </w:tcPr>
          <w:p w:rsidR="003D706F" w:rsidRPr="003B56DE" w:rsidRDefault="003D706F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Evidence for Team Student Learning Challenge</w:t>
            </w:r>
          </w:p>
        </w:tc>
      </w:tr>
      <w:tr w:rsidR="0070707D" w:rsidRPr="003B56DE" w:rsidTr="0070707D">
        <w:trPr>
          <w:trHeight w:val="1151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70707D" w:rsidRPr="000B3DB3" w:rsidRDefault="0070707D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Largest school-state gap for SWD by question type was OR items (28%/1.1 for Gr 5)</w:t>
            </w:r>
          </w:p>
          <w:p w:rsidR="0070707D" w:rsidRPr="000B3DB3" w:rsidRDefault="0070707D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Gap for SWD on MC w</w:t>
            </w:r>
            <w:r w:rsidR="00814EF8" w:rsidRPr="000B3DB3">
              <w:rPr>
                <w:sz w:val="18"/>
                <w:szCs w:val="20"/>
              </w:rPr>
              <w:t xml:space="preserve">as </w:t>
            </w:r>
            <w:r w:rsidR="003B56DE" w:rsidRPr="000B3DB3">
              <w:rPr>
                <w:sz w:val="18"/>
                <w:szCs w:val="20"/>
              </w:rPr>
              <w:t xml:space="preserve">16% for Grade </w:t>
            </w:r>
            <w:r w:rsidR="00814EF8" w:rsidRPr="000B3DB3">
              <w:rPr>
                <w:sz w:val="18"/>
                <w:szCs w:val="20"/>
              </w:rPr>
              <w:t>5</w:t>
            </w:r>
          </w:p>
          <w:p w:rsidR="0070707D" w:rsidRPr="000B3DB3" w:rsidRDefault="0070707D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SWD performance on OR items ranged from 1.56 to 0.6 pts.; school-state gaps on OR items ranged from 1.2 to 0.5 pts.</w:t>
            </w:r>
          </w:p>
          <w:p w:rsidR="0070707D" w:rsidRPr="000B3DB3" w:rsidRDefault="003B56DE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Cluster</w:t>
            </w:r>
            <w:r w:rsidR="0070707D" w:rsidRPr="000B3DB3">
              <w:rPr>
                <w:sz w:val="18"/>
                <w:szCs w:val="20"/>
              </w:rPr>
              <w:t xml:space="preserve"> had the largest school-state gap for SWD in </w:t>
            </w:r>
            <w:r w:rsidRPr="000B3DB3">
              <w:rPr>
                <w:sz w:val="18"/>
                <w:szCs w:val="20"/>
              </w:rPr>
              <w:t xml:space="preserve">Grade </w:t>
            </w:r>
            <w:r w:rsidR="0070707D" w:rsidRPr="000B3DB3">
              <w:rPr>
                <w:sz w:val="18"/>
                <w:szCs w:val="20"/>
              </w:rPr>
              <w:t>5 (27%). This cluster al</w:t>
            </w:r>
            <w:r w:rsidRPr="000B3DB3">
              <w:rPr>
                <w:sz w:val="18"/>
                <w:szCs w:val="20"/>
              </w:rPr>
              <w:t>so has 7 test items.</w:t>
            </w:r>
          </w:p>
          <w:p w:rsidR="0070707D" w:rsidRPr="000B3DB3" w:rsidRDefault="0070707D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Resource students also struggled on Number and operations i</w:t>
            </w:r>
            <w:r w:rsidR="003B56DE" w:rsidRPr="000B3DB3">
              <w:rPr>
                <w:sz w:val="18"/>
                <w:szCs w:val="20"/>
              </w:rPr>
              <w:t>n base ten on Predictive #2 (15</w:t>
            </w:r>
            <w:r w:rsidRPr="000B3DB3">
              <w:rPr>
                <w:sz w:val="18"/>
                <w:szCs w:val="20"/>
              </w:rPr>
              <w:t xml:space="preserve">% </w:t>
            </w:r>
            <w:r w:rsidR="003B56DE" w:rsidRPr="000B3DB3">
              <w:rPr>
                <w:sz w:val="18"/>
                <w:szCs w:val="20"/>
              </w:rPr>
              <w:t>“</w:t>
            </w:r>
            <w:r w:rsidRPr="000B3DB3">
              <w:rPr>
                <w:sz w:val="18"/>
                <w:szCs w:val="20"/>
              </w:rPr>
              <w:t>Meeting Standard</w:t>
            </w:r>
            <w:r w:rsidR="003B56DE" w:rsidRPr="000B3DB3">
              <w:rPr>
                <w:sz w:val="18"/>
                <w:szCs w:val="20"/>
              </w:rPr>
              <w:t>”</w:t>
            </w:r>
            <w:r w:rsidRPr="000B3DB3">
              <w:rPr>
                <w:sz w:val="18"/>
                <w:szCs w:val="20"/>
              </w:rPr>
              <w:t xml:space="preserve"> </w:t>
            </w:r>
            <w:r w:rsidR="003B56DE" w:rsidRPr="000B3DB3">
              <w:rPr>
                <w:sz w:val="18"/>
                <w:szCs w:val="20"/>
              </w:rPr>
              <w:t>in G</w:t>
            </w:r>
            <w:r w:rsidRPr="000B3DB3">
              <w:rPr>
                <w:sz w:val="18"/>
                <w:szCs w:val="20"/>
              </w:rPr>
              <w:t>rade</w:t>
            </w:r>
            <w:r w:rsidR="003B56DE" w:rsidRPr="000B3DB3">
              <w:rPr>
                <w:sz w:val="18"/>
                <w:szCs w:val="20"/>
              </w:rPr>
              <w:t xml:space="preserve"> 5</w:t>
            </w:r>
            <w:r w:rsidRPr="000B3DB3">
              <w:rPr>
                <w:sz w:val="18"/>
                <w:szCs w:val="20"/>
              </w:rPr>
              <w:t>)</w:t>
            </w:r>
          </w:p>
          <w:p w:rsidR="0070707D" w:rsidRPr="000B3DB3" w:rsidRDefault="0070707D" w:rsidP="0070707D">
            <w:pPr>
              <w:pStyle w:val="NoSpacing"/>
              <w:numPr>
                <w:ilvl w:val="0"/>
                <w:numId w:val="3"/>
              </w:numPr>
              <w:ind w:left="256" w:hanging="194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Students receiving Resource support struggled the most with items requiring understanding of place value, including adding, subtracting, and dividing multi-digit whole numbers.</w:t>
            </w:r>
          </w:p>
        </w:tc>
      </w:tr>
      <w:tr w:rsidR="0070707D" w:rsidRPr="003B56DE" w:rsidTr="0070707D">
        <w:trPr>
          <w:trHeight w:val="64"/>
        </w:trPr>
        <w:tc>
          <w:tcPr>
            <w:tcW w:w="10908" w:type="dxa"/>
            <w:gridSpan w:val="3"/>
            <w:shd w:val="clear" w:color="auto" w:fill="CCC0D9" w:themeFill="accent4" w:themeFillTint="66"/>
          </w:tcPr>
          <w:p w:rsidR="0070707D" w:rsidRPr="003B56DE" w:rsidRDefault="003D706F" w:rsidP="0070707D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 xml:space="preserve">Team </w:t>
            </w:r>
            <w:r w:rsidR="0070707D" w:rsidRPr="003B56DE">
              <w:rPr>
                <w:b/>
                <w:sz w:val="20"/>
                <w:szCs w:val="20"/>
              </w:rPr>
              <w:t>Student Learning Challenge</w:t>
            </w:r>
          </w:p>
        </w:tc>
      </w:tr>
      <w:tr w:rsidR="0070707D" w:rsidRPr="003B56DE" w:rsidTr="003B56DE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70707D" w:rsidRPr="000B3DB3" w:rsidRDefault="0070707D" w:rsidP="0070707D">
            <w:pPr>
              <w:pStyle w:val="NoSpacing"/>
              <w:rPr>
                <w:i/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Students receiving Resource support are struggling to understand place value, impacting their ability to add, subtract, and divide multi-digit whole numbers.</w:t>
            </w:r>
            <w:r w:rsidR="003D706F" w:rsidRPr="000B3DB3">
              <w:rPr>
                <w:sz w:val="18"/>
                <w:szCs w:val="20"/>
              </w:rPr>
              <w:t xml:space="preserve"> </w:t>
            </w:r>
            <w:r w:rsidR="003D706F" w:rsidRPr="000B3DB3">
              <w:rPr>
                <w:i/>
                <w:sz w:val="18"/>
                <w:szCs w:val="20"/>
              </w:rPr>
              <w:t>(Based on item analysis and distractor analysis)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shd w:val="clear" w:color="auto" w:fill="CCC0D9" w:themeFill="accent4" w:themeFillTint="66"/>
          </w:tcPr>
          <w:p w:rsidR="003B56DE" w:rsidRPr="003B56DE" w:rsidRDefault="003B56DE" w:rsidP="003B56DE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Team Student Learning  Goal</w:t>
            </w:r>
          </w:p>
        </w:tc>
      </w:tr>
      <w:tr w:rsidR="003B56DE" w:rsidRPr="003B56DE" w:rsidTr="0070707D">
        <w:trPr>
          <w:trHeight w:val="64"/>
        </w:trPr>
        <w:tc>
          <w:tcPr>
            <w:tcW w:w="10908" w:type="dxa"/>
            <w:gridSpan w:val="3"/>
          </w:tcPr>
          <w:p w:rsidR="003B56DE" w:rsidRPr="000B3DB3" w:rsidRDefault="00964ABB" w:rsidP="0070707D">
            <w:pPr>
              <w:pStyle w:val="NoSpacing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Based on the fact that students </w:t>
            </w:r>
            <w:bookmarkStart w:id="0" w:name="_GoBack"/>
            <w:bookmarkEnd w:id="0"/>
            <w:r w:rsidRPr="000B3DB3">
              <w:rPr>
                <w:sz w:val="18"/>
                <w:szCs w:val="20"/>
              </w:rPr>
              <w:t xml:space="preserve">receiving Resource support did not demonstrate understanding of place value on the pre-assessment, </w:t>
            </w:r>
            <w:r w:rsidR="009B4413" w:rsidRPr="000B3DB3">
              <w:rPr>
                <w:sz w:val="18"/>
                <w:szCs w:val="20"/>
              </w:rPr>
              <w:t xml:space="preserve">scoring an average of 30% on questions in this strand, </w:t>
            </w:r>
            <w:r w:rsidRPr="000B3DB3">
              <w:rPr>
                <w:sz w:val="18"/>
                <w:szCs w:val="20"/>
              </w:rPr>
              <w:t>our goal is that by January, these students will apply understanding of place value to with</w:t>
            </w:r>
            <w:r w:rsidR="009B4413" w:rsidRPr="000B3DB3">
              <w:rPr>
                <w:sz w:val="18"/>
                <w:szCs w:val="20"/>
              </w:rPr>
              <w:t xml:space="preserve"> score an average of at least 6</w:t>
            </w:r>
            <w:r w:rsidRPr="000B3DB3">
              <w:rPr>
                <w:sz w:val="18"/>
                <w:szCs w:val="20"/>
              </w:rPr>
              <w:t xml:space="preserve">0% </w:t>
            </w:r>
            <w:r w:rsidR="009B4413" w:rsidRPr="000B3DB3">
              <w:rPr>
                <w:sz w:val="18"/>
                <w:szCs w:val="20"/>
              </w:rPr>
              <w:t>on a similar assessment in January and at least 80% on a similar assessment in May.</w:t>
            </w:r>
            <w:r w:rsidRPr="000B3DB3">
              <w:rPr>
                <w:sz w:val="18"/>
                <w:szCs w:val="20"/>
              </w:rPr>
              <w:t xml:space="preserve"> </w:t>
            </w:r>
            <w:r w:rsidR="009B4413" w:rsidRPr="000B3DB3">
              <w:rPr>
                <w:sz w:val="18"/>
                <w:szCs w:val="20"/>
              </w:rPr>
              <w:t>We will monitor progress over the course of the year through classwork and informal assessments.</w:t>
            </w:r>
          </w:p>
        </w:tc>
      </w:tr>
    </w:tbl>
    <w:p w:rsidR="003B56DE" w:rsidRPr="00C14625" w:rsidRDefault="003B56DE" w:rsidP="00276658">
      <w:pPr>
        <w:pStyle w:val="NoSpacing"/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150"/>
        <w:gridCol w:w="3870"/>
      </w:tblGrid>
      <w:tr w:rsidR="003D706F" w:rsidRPr="003B56DE" w:rsidTr="003B56DE"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D706F" w:rsidRPr="003B56DE" w:rsidRDefault="003D706F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Evidence for School-Wide Focus Area</w:t>
            </w:r>
          </w:p>
        </w:tc>
      </w:tr>
      <w:tr w:rsidR="003B56DE" w:rsidRPr="003B56DE" w:rsidTr="000B3DB3">
        <w:trPr>
          <w:trHeight w:val="64"/>
        </w:trPr>
        <w:tc>
          <w:tcPr>
            <w:tcW w:w="3888" w:type="dxa"/>
            <w:vMerge w:val="restart"/>
            <w:tcBorders>
              <w:bottom w:val="nil"/>
              <w:right w:val="nil"/>
            </w:tcBorders>
          </w:tcPr>
          <w:p w:rsidR="003B56DE" w:rsidRPr="000B3DB3" w:rsidRDefault="003B56DE" w:rsidP="003B56DE">
            <w:pPr>
              <w:jc w:val="center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  <w:u w:val="single"/>
              </w:rPr>
              <w:t>Large ELL Population:</w:t>
            </w:r>
          </w:p>
          <w:p w:rsidR="000B3DB3" w:rsidRPr="000B3DB3" w:rsidRDefault="003B56DE" w:rsidP="000B3DB3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150 out of 347 students are ELL: </w:t>
            </w:r>
          </w:p>
          <w:p w:rsidR="003B56DE" w:rsidRPr="000B3DB3" w:rsidRDefault="000B3DB3" w:rsidP="000B3DB3">
            <w:pPr>
              <w:pStyle w:val="ListParagraph"/>
              <w:ind w:left="180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No</w:t>
            </w:r>
            <w:r w:rsidR="003B56DE" w:rsidRPr="000B3DB3">
              <w:rPr>
                <w:sz w:val="18"/>
                <w:szCs w:val="20"/>
              </w:rPr>
              <w:t xml:space="preserve"> </w:t>
            </w:r>
            <w:r w:rsidRPr="000B3DB3">
              <w:rPr>
                <w:sz w:val="18"/>
                <w:szCs w:val="20"/>
              </w:rPr>
              <w:t xml:space="preserve">ELD </w:t>
            </w:r>
            <w:r w:rsidR="003B56DE" w:rsidRPr="000B3DB3">
              <w:rPr>
                <w:sz w:val="18"/>
                <w:szCs w:val="20"/>
              </w:rPr>
              <w:t xml:space="preserve">Level 1, 25 </w:t>
            </w:r>
            <w:r w:rsidRPr="000B3DB3">
              <w:rPr>
                <w:sz w:val="18"/>
                <w:szCs w:val="20"/>
              </w:rPr>
              <w:t xml:space="preserve">ELD </w:t>
            </w:r>
            <w:r w:rsidR="003B56DE" w:rsidRPr="000B3DB3">
              <w:rPr>
                <w:sz w:val="18"/>
                <w:szCs w:val="20"/>
              </w:rPr>
              <w:t xml:space="preserve">Level 2, 85 </w:t>
            </w:r>
            <w:r w:rsidRPr="000B3DB3">
              <w:rPr>
                <w:sz w:val="18"/>
                <w:szCs w:val="20"/>
              </w:rPr>
              <w:t xml:space="preserve">ELD </w:t>
            </w:r>
            <w:r w:rsidR="003B56DE" w:rsidRPr="000B3DB3">
              <w:rPr>
                <w:sz w:val="18"/>
                <w:szCs w:val="20"/>
              </w:rPr>
              <w:t xml:space="preserve">Level 3, 30 </w:t>
            </w:r>
            <w:r w:rsidRPr="000B3DB3">
              <w:rPr>
                <w:sz w:val="18"/>
                <w:szCs w:val="20"/>
              </w:rPr>
              <w:t xml:space="preserve">ELD </w:t>
            </w:r>
            <w:r w:rsidR="003B56DE" w:rsidRPr="000B3DB3">
              <w:rPr>
                <w:sz w:val="18"/>
                <w:szCs w:val="20"/>
              </w:rPr>
              <w:t xml:space="preserve">Level 4, and 10 </w:t>
            </w:r>
            <w:r w:rsidRPr="000B3DB3">
              <w:rPr>
                <w:sz w:val="18"/>
                <w:szCs w:val="20"/>
              </w:rPr>
              <w:t xml:space="preserve">ELD </w:t>
            </w:r>
            <w:r w:rsidR="003B56DE" w:rsidRPr="000B3DB3">
              <w:rPr>
                <w:sz w:val="18"/>
                <w:szCs w:val="20"/>
              </w:rPr>
              <w:t>Level 5</w:t>
            </w:r>
          </w:p>
        </w:tc>
        <w:tc>
          <w:tcPr>
            <w:tcW w:w="7020" w:type="dxa"/>
            <w:gridSpan w:val="2"/>
            <w:tcBorders>
              <w:left w:val="nil"/>
              <w:bottom w:val="nil"/>
            </w:tcBorders>
          </w:tcPr>
          <w:p w:rsidR="003B56DE" w:rsidRPr="000B3DB3" w:rsidRDefault="003B56DE" w:rsidP="003B56DE">
            <w:pPr>
              <w:pStyle w:val="NoSpacing"/>
              <w:jc w:val="center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  <w:u w:val="single"/>
              </w:rPr>
              <w:t>ELL Achievement Gap (ELA):</w:t>
            </w:r>
          </w:p>
        </w:tc>
      </w:tr>
      <w:tr w:rsidR="003B56DE" w:rsidRPr="003B56DE" w:rsidTr="000B3DB3">
        <w:trPr>
          <w:trHeight w:val="117"/>
        </w:trPr>
        <w:tc>
          <w:tcPr>
            <w:tcW w:w="388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B56DE" w:rsidRPr="003B56DE" w:rsidRDefault="003B56DE" w:rsidP="003D70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DB3" w:rsidRPr="000B3DB3" w:rsidRDefault="003B56DE" w:rsidP="000B3DB3">
            <w:pPr>
              <w:pStyle w:val="NoSpacing"/>
              <w:numPr>
                <w:ilvl w:val="0"/>
                <w:numId w:val="4"/>
              </w:numPr>
              <w:ind w:left="342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Mean CPI of 40.5 for ELL </w:t>
            </w:r>
          </w:p>
          <w:p w:rsidR="000B3DB3" w:rsidRPr="000B3DB3" w:rsidRDefault="003B56DE" w:rsidP="000B3DB3">
            <w:pPr>
              <w:pStyle w:val="NoSpacing"/>
              <w:numPr>
                <w:ilvl w:val="0"/>
                <w:numId w:val="4"/>
              </w:numPr>
              <w:ind w:left="342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Mean CPI of 67.8 for non-ELL </w:t>
            </w:r>
          </w:p>
          <w:p w:rsidR="003B56DE" w:rsidRPr="000B3DB3" w:rsidRDefault="003B56DE" w:rsidP="000B3DB3">
            <w:pPr>
              <w:pStyle w:val="NoSpacing"/>
              <w:numPr>
                <w:ilvl w:val="0"/>
                <w:numId w:val="4"/>
              </w:numPr>
              <w:ind w:left="342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31.5 SGP for 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</w:tcPr>
          <w:p w:rsidR="003B56DE" w:rsidRPr="000B3DB3" w:rsidRDefault="003B56DE" w:rsidP="003B56DE">
            <w:pPr>
              <w:pStyle w:val="NoSpacing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51.0 SGP for non-ELL</w:t>
            </w:r>
          </w:p>
          <w:p w:rsidR="003B56DE" w:rsidRPr="000B3DB3" w:rsidRDefault="003B56DE" w:rsidP="003B56D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9% of ELLs Prof. or Adv.</w:t>
            </w:r>
          </w:p>
          <w:p w:rsidR="003B56DE" w:rsidRPr="000B3DB3" w:rsidRDefault="003B56DE" w:rsidP="003B56D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51% of non-ELLs Prof .or Adv.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shd w:val="clear" w:color="auto" w:fill="B6DDE8" w:themeFill="accent5" w:themeFillTint="66"/>
          </w:tcPr>
          <w:p w:rsidR="003B56DE" w:rsidRPr="003B56DE" w:rsidRDefault="003B56DE" w:rsidP="003D706F">
            <w:pPr>
              <w:pStyle w:val="NoSpacing"/>
              <w:ind w:right="-64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School-Wide Focus Area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3B56DE" w:rsidRPr="000B3DB3" w:rsidRDefault="003B56DE" w:rsidP="003D706F">
            <w:pPr>
              <w:pStyle w:val="NoSpacing"/>
              <w:ind w:right="-64"/>
              <w:rPr>
                <w:sz w:val="18"/>
                <w:szCs w:val="20"/>
                <w:u w:val="single"/>
              </w:rPr>
            </w:pPr>
            <w:r w:rsidRPr="000B3DB3">
              <w:rPr>
                <w:sz w:val="18"/>
                <w:szCs w:val="20"/>
              </w:rPr>
              <w:t>Writing skills of ELL students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B56DE" w:rsidRPr="003B56DE" w:rsidRDefault="003B56DE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School-Wide Student Learning Goal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00DF" w:rsidRPr="000B3DB3" w:rsidRDefault="00A82288" w:rsidP="000B3DB3">
            <w:pPr>
              <w:pStyle w:val="NoSpacing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Based on </w:t>
            </w:r>
            <w:r w:rsidR="000B3DB3" w:rsidRPr="000B3DB3">
              <w:rPr>
                <w:sz w:val="18"/>
                <w:szCs w:val="20"/>
              </w:rPr>
              <w:t>recent trends of low performance for</w:t>
            </w:r>
            <w:r w:rsidRPr="000B3DB3">
              <w:rPr>
                <w:sz w:val="18"/>
                <w:szCs w:val="20"/>
              </w:rPr>
              <w:t xml:space="preserve"> </w:t>
            </w:r>
            <w:r w:rsidR="00814EF8" w:rsidRPr="000B3DB3">
              <w:rPr>
                <w:sz w:val="18"/>
                <w:szCs w:val="20"/>
              </w:rPr>
              <w:t xml:space="preserve">ELL </w:t>
            </w:r>
            <w:r w:rsidRPr="000B3DB3">
              <w:rPr>
                <w:sz w:val="18"/>
                <w:szCs w:val="20"/>
              </w:rPr>
              <w:t>students on the ELA MCAS, and the fact that students currently score the l</w:t>
            </w:r>
            <w:r w:rsidR="00814EF8" w:rsidRPr="000B3DB3">
              <w:rPr>
                <w:sz w:val="18"/>
                <w:szCs w:val="20"/>
              </w:rPr>
              <w:t xml:space="preserve">owest on </w:t>
            </w:r>
            <w:r w:rsidRPr="000B3DB3">
              <w:rPr>
                <w:sz w:val="18"/>
                <w:szCs w:val="20"/>
              </w:rPr>
              <w:t>open response questions, our goal is that by May</w:t>
            </w:r>
            <w:r w:rsidR="00814EF8" w:rsidRPr="000B3DB3">
              <w:rPr>
                <w:sz w:val="18"/>
                <w:szCs w:val="20"/>
              </w:rPr>
              <w:t xml:space="preserve"> 2014</w:t>
            </w:r>
            <w:r w:rsidRPr="000B3DB3">
              <w:rPr>
                <w:sz w:val="18"/>
                <w:szCs w:val="20"/>
              </w:rPr>
              <w:t>,</w:t>
            </w:r>
            <w:r w:rsidR="00814EF8" w:rsidRPr="000B3DB3">
              <w:rPr>
                <w:sz w:val="18"/>
                <w:szCs w:val="20"/>
              </w:rPr>
              <w:t xml:space="preserve"> </w:t>
            </w:r>
            <w:r w:rsidRPr="000B3DB3">
              <w:rPr>
                <w:sz w:val="18"/>
                <w:szCs w:val="20"/>
              </w:rPr>
              <w:t xml:space="preserve">our ELL students will demonstrate increased written communication skills </w:t>
            </w:r>
            <w:r w:rsidR="004500DF" w:rsidRPr="000B3DB3">
              <w:rPr>
                <w:sz w:val="18"/>
                <w:szCs w:val="20"/>
              </w:rPr>
              <w:t>using the Claim, Evidence, Argument format.</w:t>
            </w:r>
            <w:r w:rsidRPr="000B3DB3">
              <w:rPr>
                <w:sz w:val="18"/>
                <w:szCs w:val="20"/>
              </w:rPr>
              <w:t xml:space="preserve"> We will measure progress every semester, using grade level rubrics designed to build toward college readiness.  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shd w:val="clear" w:color="auto" w:fill="B6DDE8" w:themeFill="accent5" w:themeFillTint="66"/>
          </w:tcPr>
          <w:p w:rsidR="003B56DE" w:rsidRPr="003B56DE" w:rsidRDefault="003B56DE" w:rsidP="003D706F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Evidence for Team Student Learning Challenge</w:t>
            </w:r>
          </w:p>
        </w:tc>
      </w:tr>
      <w:tr w:rsidR="003B56DE" w:rsidRPr="003B56DE" w:rsidTr="00C14625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3B56DE" w:rsidRPr="000B3DB3" w:rsidRDefault="003B56DE" w:rsidP="003B56DE">
            <w:pPr>
              <w:pStyle w:val="NoSpacing"/>
              <w:numPr>
                <w:ilvl w:val="0"/>
                <w:numId w:val="3"/>
              </w:numPr>
              <w:ind w:left="360" w:right="-108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Largest school-state gap for ELL by qu</w:t>
            </w:r>
            <w:r w:rsidR="00C14625">
              <w:rPr>
                <w:sz w:val="18"/>
                <w:szCs w:val="20"/>
              </w:rPr>
              <w:t>estion type was on open response items (</w:t>
            </w:r>
            <w:r w:rsidRPr="000B3DB3">
              <w:rPr>
                <w:sz w:val="18"/>
                <w:szCs w:val="20"/>
              </w:rPr>
              <w:t>15% school-state gap)</w:t>
            </w:r>
          </w:p>
          <w:p w:rsidR="003B56DE" w:rsidRPr="000B3DB3" w:rsidRDefault="003B56DE" w:rsidP="003B56DE">
            <w:pPr>
              <w:pStyle w:val="NoSpacing"/>
              <w:numPr>
                <w:ilvl w:val="0"/>
                <w:numId w:val="3"/>
              </w:numPr>
              <w:ind w:left="360" w:right="-108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ELL performance on OR items ranged from 1.6 to 0.5; school-state gaps on</w:t>
            </w:r>
            <w:r w:rsidR="00C14625">
              <w:rPr>
                <w:sz w:val="18"/>
                <w:szCs w:val="20"/>
              </w:rPr>
              <w:t xml:space="preserve"> OR items ranged from 1.4 to 0.</w:t>
            </w:r>
            <w:r w:rsidRPr="000B3DB3">
              <w:rPr>
                <w:sz w:val="18"/>
                <w:szCs w:val="20"/>
              </w:rPr>
              <w:t>3</w:t>
            </w:r>
            <w:r w:rsidR="00C14625">
              <w:rPr>
                <w:sz w:val="18"/>
                <w:szCs w:val="20"/>
              </w:rPr>
              <w:t>0</w:t>
            </w:r>
            <w:r w:rsidRPr="000B3DB3">
              <w:rPr>
                <w:sz w:val="18"/>
                <w:szCs w:val="20"/>
              </w:rPr>
              <w:t xml:space="preserve"> p</w:t>
            </w:r>
            <w:r w:rsidR="00C14625">
              <w:rPr>
                <w:sz w:val="18"/>
                <w:szCs w:val="20"/>
              </w:rPr>
              <w:t>oin</w:t>
            </w:r>
            <w:r w:rsidRPr="000B3DB3">
              <w:rPr>
                <w:sz w:val="18"/>
                <w:szCs w:val="20"/>
              </w:rPr>
              <w:t>ts</w:t>
            </w:r>
          </w:p>
          <w:p w:rsidR="003B56DE" w:rsidRPr="000B3DB3" w:rsidRDefault="00C14625" w:rsidP="003B56DE">
            <w:pPr>
              <w:pStyle w:val="NoSpacing"/>
              <w:numPr>
                <w:ilvl w:val="0"/>
                <w:numId w:val="3"/>
              </w:numPr>
              <w:ind w:left="360"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On average, </w:t>
            </w:r>
            <w:r w:rsidR="003B56DE" w:rsidRPr="000B3DB3">
              <w:rPr>
                <w:sz w:val="18"/>
                <w:szCs w:val="20"/>
              </w:rPr>
              <w:t>4</w:t>
            </w:r>
            <w:r w:rsidR="003B56DE" w:rsidRPr="000B3DB3">
              <w:rPr>
                <w:sz w:val="18"/>
                <w:szCs w:val="20"/>
                <w:vertAlign w:val="superscript"/>
              </w:rPr>
              <w:t>th</w:t>
            </w:r>
            <w:r w:rsidR="003B56DE" w:rsidRPr="000B3DB3">
              <w:rPr>
                <w:sz w:val="18"/>
                <w:szCs w:val="20"/>
              </w:rPr>
              <w:t xml:space="preserve"> grade ELL students </w:t>
            </w:r>
            <w:r>
              <w:rPr>
                <w:sz w:val="18"/>
                <w:szCs w:val="20"/>
              </w:rPr>
              <w:t>earned a 7/20 on the long comp. (23% school-state gap), which is 5 points below the non-ELL average (13)</w:t>
            </w:r>
          </w:p>
          <w:p w:rsidR="003B56DE" w:rsidRPr="00C14625" w:rsidRDefault="003B56DE" w:rsidP="00C14625">
            <w:pPr>
              <w:pStyle w:val="NoSpacing"/>
              <w:numPr>
                <w:ilvl w:val="0"/>
                <w:numId w:val="3"/>
              </w:numPr>
              <w:ind w:left="360" w:right="-108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70% of ELD 1-3 students scored “Needs Attention” or “Critical Area for Improvement” on the majority of CWA rubric criteria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shd w:val="clear" w:color="auto" w:fill="B6DDE8" w:themeFill="accent5" w:themeFillTint="66"/>
          </w:tcPr>
          <w:p w:rsidR="003B56DE" w:rsidRPr="003B56DE" w:rsidRDefault="003B56DE" w:rsidP="003D706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Team Student Learning Challenge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3B56DE" w:rsidRPr="000B3DB3" w:rsidRDefault="003B56DE" w:rsidP="003B56DE">
            <w:pPr>
              <w:pStyle w:val="NoSpacing"/>
              <w:rPr>
                <w:i/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 xml:space="preserve">ELL students struggle to state and support a claim – The writer clearly states an opinion, supports the opinion with evidence, and provides reasons that support the opinion. </w:t>
            </w:r>
            <w:r w:rsidR="00C14625">
              <w:rPr>
                <w:i/>
                <w:sz w:val="18"/>
                <w:szCs w:val="20"/>
              </w:rPr>
              <w:t>(Based on analyzing open response, long composition</w:t>
            </w:r>
            <w:r w:rsidRPr="000B3DB3">
              <w:rPr>
                <w:i/>
                <w:sz w:val="18"/>
                <w:szCs w:val="20"/>
              </w:rPr>
              <w:t>, and CWA responses)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  <w:shd w:val="clear" w:color="auto" w:fill="B6DDE8" w:themeFill="accent5" w:themeFillTint="66"/>
          </w:tcPr>
          <w:p w:rsidR="003B56DE" w:rsidRPr="003B56DE" w:rsidRDefault="003B56DE" w:rsidP="008D6A26">
            <w:pPr>
              <w:pStyle w:val="NoSpacing"/>
              <w:rPr>
                <w:b/>
                <w:sz w:val="20"/>
                <w:szCs w:val="20"/>
              </w:rPr>
            </w:pPr>
            <w:r w:rsidRPr="003B56DE">
              <w:rPr>
                <w:b/>
                <w:sz w:val="20"/>
                <w:szCs w:val="20"/>
              </w:rPr>
              <w:t>Team Student Learning  Goal</w:t>
            </w:r>
          </w:p>
        </w:tc>
      </w:tr>
      <w:tr w:rsidR="003B56DE" w:rsidRPr="003B56DE" w:rsidTr="003B56DE">
        <w:trPr>
          <w:trHeight w:val="64"/>
        </w:trPr>
        <w:tc>
          <w:tcPr>
            <w:tcW w:w="10908" w:type="dxa"/>
            <w:gridSpan w:val="3"/>
          </w:tcPr>
          <w:p w:rsidR="003B56DE" w:rsidRPr="000B3DB3" w:rsidRDefault="004500DF" w:rsidP="00C14625">
            <w:pPr>
              <w:pStyle w:val="NoSpacing"/>
              <w:rPr>
                <w:sz w:val="18"/>
                <w:szCs w:val="20"/>
              </w:rPr>
            </w:pPr>
            <w:r w:rsidRPr="000B3DB3">
              <w:rPr>
                <w:sz w:val="18"/>
                <w:szCs w:val="20"/>
              </w:rPr>
              <w:t>Based on the fa</w:t>
            </w:r>
            <w:r w:rsidR="00DB2782" w:rsidRPr="000B3DB3">
              <w:rPr>
                <w:sz w:val="18"/>
                <w:szCs w:val="20"/>
              </w:rPr>
              <w:t>ct that 78</w:t>
            </w:r>
            <w:r w:rsidRPr="000B3DB3">
              <w:rPr>
                <w:sz w:val="18"/>
                <w:szCs w:val="20"/>
              </w:rPr>
              <w:t xml:space="preserve">% of our ELL students currently score </w:t>
            </w:r>
            <w:r w:rsidR="00C14625">
              <w:rPr>
                <w:sz w:val="18"/>
                <w:szCs w:val="20"/>
              </w:rPr>
              <w:t>“</w:t>
            </w:r>
            <w:r w:rsidRPr="000B3DB3">
              <w:rPr>
                <w:sz w:val="18"/>
                <w:szCs w:val="20"/>
              </w:rPr>
              <w:t xml:space="preserve">Needs </w:t>
            </w:r>
            <w:r w:rsidR="00C14625">
              <w:rPr>
                <w:sz w:val="18"/>
                <w:szCs w:val="20"/>
              </w:rPr>
              <w:t>Attention”</w:t>
            </w:r>
            <w:r w:rsidRPr="000B3DB3">
              <w:rPr>
                <w:sz w:val="18"/>
                <w:szCs w:val="20"/>
              </w:rPr>
              <w:t xml:space="preserve"> or below</w:t>
            </w:r>
            <w:r w:rsidR="00C14625">
              <w:rPr>
                <w:sz w:val="18"/>
                <w:szCs w:val="20"/>
              </w:rPr>
              <w:t xml:space="preserve"> on the CW</w:t>
            </w:r>
            <w:r w:rsidR="00DB2782" w:rsidRPr="000B3DB3">
              <w:rPr>
                <w:sz w:val="18"/>
                <w:szCs w:val="20"/>
              </w:rPr>
              <w:t xml:space="preserve">A </w:t>
            </w:r>
            <w:r w:rsidRPr="000B3DB3">
              <w:rPr>
                <w:sz w:val="18"/>
                <w:szCs w:val="20"/>
              </w:rPr>
              <w:t>rubric</w:t>
            </w:r>
            <w:r w:rsidR="00DB2782" w:rsidRPr="000B3DB3">
              <w:rPr>
                <w:sz w:val="18"/>
                <w:szCs w:val="20"/>
              </w:rPr>
              <w:t>, our</w:t>
            </w:r>
            <w:r w:rsidRPr="000B3DB3">
              <w:rPr>
                <w:sz w:val="18"/>
                <w:szCs w:val="20"/>
              </w:rPr>
              <w:t xml:space="preserve"> goal is to improve writt</w:t>
            </w:r>
            <w:r w:rsidR="00C14625">
              <w:rPr>
                <w:sz w:val="18"/>
                <w:szCs w:val="20"/>
              </w:rPr>
              <w:t xml:space="preserve">en performance on grade level </w:t>
            </w:r>
            <w:r w:rsidRPr="000B3DB3">
              <w:rPr>
                <w:sz w:val="18"/>
                <w:szCs w:val="20"/>
              </w:rPr>
              <w:t>writing assess</w:t>
            </w:r>
            <w:r w:rsidR="00DB2782" w:rsidRPr="000B3DB3">
              <w:rPr>
                <w:sz w:val="18"/>
                <w:szCs w:val="20"/>
              </w:rPr>
              <w:t xml:space="preserve">ments as measured by the </w:t>
            </w:r>
            <w:r w:rsidR="00C14625">
              <w:rPr>
                <w:sz w:val="18"/>
                <w:szCs w:val="20"/>
              </w:rPr>
              <w:t>CWA</w:t>
            </w:r>
            <w:r w:rsidR="00DB2782" w:rsidRPr="000B3DB3">
              <w:rPr>
                <w:sz w:val="18"/>
                <w:szCs w:val="20"/>
              </w:rPr>
              <w:t xml:space="preserve"> rubric. By January, 70% of our students will score P</w:t>
            </w:r>
            <w:r w:rsidR="00C14625">
              <w:rPr>
                <w:sz w:val="18"/>
                <w:szCs w:val="20"/>
              </w:rPr>
              <w:t>roficient on CW</w:t>
            </w:r>
            <w:r w:rsidRPr="000B3DB3">
              <w:rPr>
                <w:sz w:val="18"/>
                <w:szCs w:val="20"/>
              </w:rPr>
              <w:t>A</w:t>
            </w:r>
            <w:r w:rsidR="00C14625">
              <w:rPr>
                <w:sz w:val="18"/>
                <w:szCs w:val="20"/>
              </w:rPr>
              <w:t>-</w:t>
            </w:r>
            <w:r w:rsidRPr="000B3DB3">
              <w:rPr>
                <w:sz w:val="18"/>
                <w:szCs w:val="20"/>
              </w:rPr>
              <w:t>style writin</w:t>
            </w:r>
            <w:r w:rsidR="00DB2782" w:rsidRPr="000B3DB3">
              <w:rPr>
                <w:sz w:val="18"/>
                <w:szCs w:val="20"/>
              </w:rPr>
              <w:t>g assessment.  By May, 85% of our students will score P</w:t>
            </w:r>
            <w:r w:rsidRPr="000B3DB3">
              <w:rPr>
                <w:sz w:val="18"/>
                <w:szCs w:val="20"/>
              </w:rPr>
              <w:t>roficient, and no s</w:t>
            </w:r>
            <w:r w:rsidR="00C14625">
              <w:rPr>
                <w:sz w:val="18"/>
                <w:szCs w:val="20"/>
              </w:rPr>
              <w:t>tudents will score below “Needs Attention.”</w:t>
            </w:r>
          </w:p>
        </w:tc>
      </w:tr>
    </w:tbl>
    <w:p w:rsidR="003D706F" w:rsidRPr="003B56DE" w:rsidRDefault="003D706F" w:rsidP="003B56DE">
      <w:pPr>
        <w:pStyle w:val="NoSpacing"/>
        <w:rPr>
          <w:sz w:val="2"/>
          <w:szCs w:val="2"/>
        </w:rPr>
      </w:pPr>
    </w:p>
    <w:sectPr w:rsidR="003D706F" w:rsidRPr="003B56DE" w:rsidSect="00994E21">
      <w:footerReference w:type="default" r:id="rId8"/>
      <w:pgSz w:w="12240" w:h="15840"/>
      <w:pgMar w:top="720" w:right="720" w:bottom="720" w:left="720" w:header="72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76" w:rsidRDefault="00680E76" w:rsidP="00994E21">
      <w:r>
        <w:separator/>
      </w:r>
    </w:p>
  </w:endnote>
  <w:endnote w:type="continuationSeparator" w:id="0">
    <w:p w:rsidR="00680E76" w:rsidRDefault="00680E76" w:rsidP="009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21" w:rsidRPr="00994E21" w:rsidRDefault="00BF26F1">
    <w:pPr>
      <w:pStyle w:val="Footer"/>
      <w:rPr>
        <w:sz w:val="14"/>
        <w:szCs w:val="14"/>
      </w:rPr>
    </w:pPr>
    <w:r>
      <w:rPr>
        <w:sz w:val="14"/>
        <w:szCs w:val="14"/>
      </w:rPr>
      <w:t>Quality indicators of student learning challenges</w:t>
    </w:r>
    <w:r w:rsidR="00994E21" w:rsidRPr="00F27574">
      <w:rPr>
        <w:sz w:val="14"/>
        <w:szCs w:val="14"/>
      </w:rPr>
      <w:t xml:space="preserve"> are based on </w:t>
    </w:r>
    <w:r w:rsidR="00994E21">
      <w:rPr>
        <w:sz w:val="14"/>
        <w:szCs w:val="14"/>
      </w:rPr>
      <w:t>ideas and</w:t>
    </w:r>
    <w:r w:rsidR="00994E21" w:rsidRPr="00F27574">
      <w:rPr>
        <w:sz w:val="14"/>
        <w:szCs w:val="14"/>
      </w:rPr>
      <w:t xml:space="preserve"> examples from Boudett, K.P., City, E.A., &amp; </w:t>
    </w:r>
    <w:proofErr w:type="spellStart"/>
    <w:r w:rsidR="00994E21" w:rsidRPr="00F27574">
      <w:rPr>
        <w:sz w:val="14"/>
        <w:szCs w:val="14"/>
      </w:rPr>
      <w:t>Murnane</w:t>
    </w:r>
    <w:proofErr w:type="spellEnd"/>
    <w:r w:rsidR="00994E21" w:rsidRPr="00F27574">
      <w:rPr>
        <w:sz w:val="14"/>
        <w:szCs w:val="14"/>
      </w:rPr>
      <w:t xml:space="preserve">, R.J. (2013) </w:t>
    </w:r>
    <w:r w:rsidR="00994E21" w:rsidRPr="00F27574">
      <w:rPr>
        <w:i/>
        <w:sz w:val="14"/>
        <w:szCs w:val="14"/>
      </w:rPr>
      <w:t>Data Wise</w:t>
    </w:r>
    <w:r w:rsidR="00994E21" w:rsidRPr="00F27574">
      <w:rPr>
        <w:sz w:val="14"/>
        <w:szCs w:val="14"/>
      </w:rPr>
      <w:t>. Cambridge, MA: Harvard Education Press</w:t>
    </w:r>
    <w:r w:rsidR="004C5E09">
      <w:rPr>
        <w:sz w:val="14"/>
        <w:szCs w:val="14"/>
      </w:rPr>
      <w:t>.</w:t>
    </w:r>
  </w:p>
  <w:p w:rsidR="00994E21" w:rsidRDefault="0099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76" w:rsidRDefault="00680E76" w:rsidP="00994E21">
      <w:r>
        <w:separator/>
      </w:r>
    </w:p>
  </w:footnote>
  <w:footnote w:type="continuationSeparator" w:id="0">
    <w:p w:rsidR="00680E76" w:rsidRDefault="00680E76" w:rsidP="0099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DD"/>
    <w:multiLevelType w:val="hybridMultilevel"/>
    <w:tmpl w:val="A53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7A"/>
    <w:multiLevelType w:val="hybridMultilevel"/>
    <w:tmpl w:val="933E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3CDA"/>
    <w:multiLevelType w:val="hybridMultilevel"/>
    <w:tmpl w:val="775C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28C"/>
    <w:multiLevelType w:val="hybridMultilevel"/>
    <w:tmpl w:val="6E72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138A"/>
    <w:multiLevelType w:val="hybridMultilevel"/>
    <w:tmpl w:val="8BB8B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F3B6E"/>
    <w:multiLevelType w:val="hybridMultilevel"/>
    <w:tmpl w:val="69CA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6628A"/>
    <w:multiLevelType w:val="hybridMultilevel"/>
    <w:tmpl w:val="2F729ADA"/>
    <w:lvl w:ilvl="0" w:tplc="0C56AC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F3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8E0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AF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CA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6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E5B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84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8B2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CF3A1C"/>
    <w:multiLevelType w:val="hybridMultilevel"/>
    <w:tmpl w:val="2A10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20"/>
    <w:rsid w:val="00031DDA"/>
    <w:rsid w:val="000B3DB3"/>
    <w:rsid w:val="00153D50"/>
    <w:rsid w:val="001834FA"/>
    <w:rsid w:val="0019273C"/>
    <w:rsid w:val="00207EAC"/>
    <w:rsid w:val="00244935"/>
    <w:rsid w:val="00276658"/>
    <w:rsid w:val="002E7D5B"/>
    <w:rsid w:val="003A1395"/>
    <w:rsid w:val="003B56DE"/>
    <w:rsid w:val="003D706F"/>
    <w:rsid w:val="0041120D"/>
    <w:rsid w:val="004500DF"/>
    <w:rsid w:val="0045232E"/>
    <w:rsid w:val="004C2F4B"/>
    <w:rsid w:val="004C5E09"/>
    <w:rsid w:val="00540DD8"/>
    <w:rsid w:val="00545C78"/>
    <w:rsid w:val="00680E76"/>
    <w:rsid w:val="006876F4"/>
    <w:rsid w:val="006C1151"/>
    <w:rsid w:val="006D2F20"/>
    <w:rsid w:val="0070707D"/>
    <w:rsid w:val="007323DB"/>
    <w:rsid w:val="00765143"/>
    <w:rsid w:val="007B1F49"/>
    <w:rsid w:val="00804D0B"/>
    <w:rsid w:val="00814EF8"/>
    <w:rsid w:val="008E5352"/>
    <w:rsid w:val="00964ABB"/>
    <w:rsid w:val="009773FE"/>
    <w:rsid w:val="009835F6"/>
    <w:rsid w:val="00994E21"/>
    <w:rsid w:val="009B4413"/>
    <w:rsid w:val="00A61E97"/>
    <w:rsid w:val="00A82288"/>
    <w:rsid w:val="00A84E60"/>
    <w:rsid w:val="00A87D96"/>
    <w:rsid w:val="00A91CB8"/>
    <w:rsid w:val="00AA26B0"/>
    <w:rsid w:val="00BF26F1"/>
    <w:rsid w:val="00C14625"/>
    <w:rsid w:val="00C242A6"/>
    <w:rsid w:val="00C90D05"/>
    <w:rsid w:val="00D238B3"/>
    <w:rsid w:val="00D47840"/>
    <w:rsid w:val="00D67934"/>
    <w:rsid w:val="00DB2782"/>
    <w:rsid w:val="00DD0B44"/>
    <w:rsid w:val="00DE5F06"/>
    <w:rsid w:val="00ED11A2"/>
    <w:rsid w:val="00F033E9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20"/>
    <w:pPr>
      <w:spacing w:after="0" w:line="240" w:lineRule="auto"/>
    </w:pPr>
  </w:style>
  <w:style w:type="table" w:styleId="TableGrid">
    <w:name w:val="Table Grid"/>
    <w:basedOn w:val="TableNormal"/>
    <w:uiPriority w:val="59"/>
    <w:rsid w:val="006D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5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20"/>
    <w:pPr>
      <w:spacing w:after="0" w:line="240" w:lineRule="auto"/>
    </w:pPr>
  </w:style>
  <w:style w:type="table" w:styleId="TableGrid">
    <w:name w:val="Table Grid"/>
    <w:basedOn w:val="TableNormal"/>
    <w:uiPriority w:val="59"/>
    <w:rsid w:val="006D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5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800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5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9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5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</dc:creator>
  <cp:lastModifiedBy>BPS</cp:lastModifiedBy>
  <cp:revision>2</cp:revision>
  <cp:lastPrinted>2013-08-19T21:57:00Z</cp:lastPrinted>
  <dcterms:created xsi:type="dcterms:W3CDTF">2013-08-20T02:39:00Z</dcterms:created>
  <dcterms:modified xsi:type="dcterms:W3CDTF">2013-08-20T02:39:00Z</dcterms:modified>
</cp:coreProperties>
</file>